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CFE8F9" w14:textId="422470A1" w:rsidR="00C37B3D" w:rsidRPr="00E652E4" w:rsidRDefault="003C1CF1" w:rsidP="00E652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52E4">
              <w:rPr>
                <w:rFonts w:ascii="Times New Roman" w:hAnsi="Times New Roman" w:cs="Times New Roman"/>
                <w:b/>
                <w:bCs/>
              </w:rPr>
              <w:t>Javno</w:t>
            </w:r>
            <w:proofErr w:type="spell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E652E4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E652E4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proofErr w:type="gramEnd"/>
            <w:r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O</w:t>
            </w:r>
            <w:r w:rsidR="00E652E4" w:rsidRPr="00E652E4">
              <w:rPr>
                <w:rFonts w:ascii="Times New Roman" w:hAnsi="Times New Roman" w:cs="Times New Roman"/>
                <w:b/>
                <w:bCs/>
              </w:rPr>
              <w:t>dluka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načinu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pružanja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javne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usluge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sakupljanja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komunalnog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otpada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području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652E4" w:rsidRPr="00E652E4">
              <w:rPr>
                <w:rFonts w:ascii="Times New Roman" w:hAnsi="Times New Roman" w:cs="Times New Roman"/>
                <w:b/>
                <w:bCs/>
              </w:rPr>
              <w:t>Općine</w:t>
            </w:r>
            <w:proofErr w:type="spellEnd"/>
            <w:r w:rsidR="00E652E4" w:rsidRPr="00E652E4">
              <w:rPr>
                <w:rFonts w:ascii="Times New Roman" w:hAnsi="Times New Roman" w:cs="Times New Roman"/>
                <w:b/>
                <w:bCs/>
              </w:rPr>
              <w:t xml:space="preserve"> Šandrovac</w:t>
            </w:r>
          </w:p>
          <w:p w14:paraId="06294C50" w14:textId="77777777" w:rsidR="001D7128" w:rsidRPr="00E652E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E652E4">
        <w:trPr>
          <w:trHeight w:hRule="exact" w:val="24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451AC8E" w14:textId="66022426" w:rsidR="00E652E4" w:rsidRPr="00E652E4" w:rsidRDefault="00E652E4" w:rsidP="00E652E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2E4">
              <w:rPr>
                <w:rFonts w:ascii="Times New Roman" w:hAnsi="Times New Roman" w:cs="Times New Roman"/>
              </w:rPr>
              <w:t>Odlukom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652E4">
              <w:rPr>
                <w:rFonts w:ascii="Times New Roman" w:hAnsi="Times New Roman" w:cs="Times New Roman"/>
              </w:rPr>
              <w:t>utvrđuju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kriteriji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52E4">
              <w:rPr>
                <w:rFonts w:ascii="Times New Roman" w:hAnsi="Times New Roman" w:cs="Times New Roman"/>
              </w:rPr>
              <w:t>način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pružanja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javne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usluge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prikupljanja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</w:p>
          <w:p w14:paraId="28B903C4" w14:textId="03317803" w:rsidR="001D7128" w:rsidRPr="00E652E4" w:rsidRDefault="00E652E4" w:rsidP="00E652E4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E652E4">
              <w:rPr>
                <w:rFonts w:ascii="Times New Roman" w:hAnsi="Times New Roman" w:cs="Times New Roman"/>
              </w:rPr>
              <w:t>miješanog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komunalnog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otpada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52E4">
              <w:rPr>
                <w:rFonts w:ascii="Times New Roman" w:hAnsi="Times New Roman" w:cs="Times New Roman"/>
              </w:rPr>
              <w:t>biorazgradivog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komunalnog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otpada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te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povezane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usluge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odvojenog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prikupljanja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otpadnog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papira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2E4">
              <w:rPr>
                <w:rFonts w:ascii="Times New Roman" w:hAnsi="Times New Roman" w:cs="Times New Roman"/>
              </w:rPr>
              <w:t>metala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2E4">
              <w:rPr>
                <w:rFonts w:ascii="Times New Roman" w:hAnsi="Times New Roman" w:cs="Times New Roman"/>
              </w:rPr>
              <w:t>stakla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plastike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2E4">
              <w:rPr>
                <w:rFonts w:ascii="Times New Roman" w:hAnsi="Times New Roman" w:cs="Times New Roman"/>
              </w:rPr>
              <w:t>tekstila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problematičnog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otpada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52E4">
              <w:rPr>
                <w:rFonts w:ascii="Times New Roman" w:hAnsi="Times New Roman" w:cs="Times New Roman"/>
              </w:rPr>
              <w:t>krupnog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652E4">
              <w:rPr>
                <w:rFonts w:ascii="Times New Roman" w:hAnsi="Times New Roman" w:cs="Times New Roman"/>
              </w:rPr>
              <w:t>glomaznog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otpada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na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Općine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Šandrovac.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Odluka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sadrži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</w:rPr>
              <w:t>odredbe</w:t>
            </w:r>
            <w:proofErr w:type="spellEnd"/>
            <w:r w:rsidRPr="00E652E4">
              <w:rPr>
                <w:rFonts w:ascii="Times New Roman" w:hAnsi="Times New Roman" w:cs="Times New Roman"/>
              </w:rPr>
              <w:t xml:space="preserve"> o </w:t>
            </w:r>
            <w:r w:rsidRPr="00E652E4">
              <w:rPr>
                <w:rFonts w:ascii="Times New Roman" w:hAnsi="Times New Roman" w:cs="Times New Roman"/>
                <w:color w:val="000000"/>
              </w:rPr>
              <w:t xml:space="preserve">kriteriju obračuna količine otpada, o standardnim veličinama i drugim bitnim svojstvima spremnika za sakupljanje otpada, najmanjoj učestalosti odvoza otpada, obračunskim razdobljima, području pružanja javne usluge iz stavka 1. </w:t>
            </w:r>
            <w:proofErr w:type="spellStart"/>
            <w:r w:rsidRPr="00E652E4">
              <w:rPr>
                <w:rFonts w:ascii="Times New Roman" w:hAnsi="Times New Roman" w:cs="Times New Roman"/>
                <w:color w:val="000000"/>
              </w:rPr>
              <w:t>ovoga</w:t>
            </w:r>
            <w:proofErr w:type="spellEnd"/>
            <w:r w:rsidRPr="00E652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52E4">
              <w:rPr>
                <w:rFonts w:ascii="Times New Roman" w:hAnsi="Times New Roman" w:cs="Times New Roman"/>
                <w:color w:val="000000"/>
              </w:rPr>
              <w:t>članka</w:t>
            </w:r>
            <w:proofErr w:type="spellEnd"/>
            <w:r w:rsidRPr="00E652E4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Pr="00E652E4">
              <w:rPr>
                <w:rFonts w:ascii="Times New Roman" w:hAnsi="Times New Roman" w:cs="Times New Roman"/>
              </w:rPr>
              <w:t xml:space="preserve"> dr.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2DCBE112" w:rsidR="001D7128" w:rsidRPr="00E652E4" w:rsidRDefault="00E652E4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E652E4">
              <w:rPr>
                <w:rFonts w:ascii="Times New Roman" w:eastAsia="Myriad Pro" w:hAnsi="Times New Roman" w:cs="Times New Roman"/>
                <w:lang w:val="hr-HR"/>
              </w:rPr>
              <w:t>15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Pr="00E652E4">
              <w:rPr>
                <w:rFonts w:ascii="Times New Roman" w:eastAsia="Myriad Pro" w:hAnsi="Times New Roman" w:cs="Times New Roman"/>
                <w:lang w:val="hr-HR"/>
              </w:rPr>
              <w:t>12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E652E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060ECE" w:rsidRPr="00E652E4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32867ACB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E652E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E652E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E652E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60EC19B6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E652E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</w:t>
            </w:r>
          </w:p>
          <w:p w14:paraId="71118D45" w14:textId="2193AFAD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6A05" w14:textId="77777777" w:rsidR="001D2093" w:rsidRDefault="001D2093" w:rsidP="001D7128">
      <w:pPr>
        <w:spacing w:after="0" w:line="240" w:lineRule="auto"/>
      </w:pPr>
      <w:r>
        <w:separator/>
      </w:r>
    </w:p>
  </w:endnote>
  <w:endnote w:type="continuationSeparator" w:id="0">
    <w:p w14:paraId="622E694E" w14:textId="77777777" w:rsidR="001D2093" w:rsidRDefault="001D209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40A8" w14:textId="77777777" w:rsidR="001D2093" w:rsidRDefault="001D2093" w:rsidP="001D7128">
      <w:pPr>
        <w:spacing w:after="0" w:line="240" w:lineRule="auto"/>
      </w:pPr>
      <w:r>
        <w:separator/>
      </w:r>
    </w:p>
  </w:footnote>
  <w:footnote w:type="continuationSeparator" w:id="0">
    <w:p w14:paraId="27EA8FDC" w14:textId="77777777" w:rsidR="001D2093" w:rsidRDefault="001D2093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2759F"/>
    <w:rsid w:val="0035681E"/>
    <w:rsid w:val="00367FD1"/>
    <w:rsid w:val="003C1CF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9</cp:revision>
  <cp:lastPrinted>2021-12-15T13:13:00Z</cp:lastPrinted>
  <dcterms:created xsi:type="dcterms:W3CDTF">2020-08-07T06:37:00Z</dcterms:created>
  <dcterms:modified xsi:type="dcterms:W3CDTF">2021-12-15T13:15:00Z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